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190149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Омарова Х.М.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Залумханов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28</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август</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Айгунов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28</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август</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2916744)</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ea1153b0-1c57-4e3e-bd72-9418d6c953dd" w:id="1"/>
      <w:r>
        <w:rPr>
          <w:rFonts w:ascii="Times New Roman" w:hAnsi="Times New Roman"/>
          <w:b/>
          <w:i w:val="false"/>
          <w:color w:val="000000"/>
          <w:sz w:val="28"/>
        </w:rPr>
        <w:t xml:space="preserve">Махачкала </w:t>
      </w:r>
      <w:bookmarkEnd w:id="1"/>
      <w:r>
        <w:rPr>
          <w:rFonts w:ascii="Times New Roman" w:hAnsi="Times New Roman"/>
          <w:b/>
          <w:i w:val="false"/>
          <w:color w:val="000000"/>
          <w:sz w:val="28"/>
        </w:rPr>
        <w:t xml:space="preserve">‌ </w:t>
      </w:r>
      <w:bookmarkStart w:name="ae8dfc76-3a09-41e0-9709-3fc2ade1ca6e" w:id="2"/>
      <w:r>
        <w:rPr>
          <w:rFonts w:ascii="Times New Roman" w:hAnsi="Times New Roman"/>
          <w:b/>
          <w:i w:val="false"/>
          <w:color w:val="000000"/>
          <w:sz w:val="28"/>
        </w:rPr>
        <w:t>2023</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1901491" w:id="3"/>
    <w:p>
      <w:pPr>
        <w:sectPr>
          <w:pgSz w:w="11906" w:h="16383" w:orient="portrait"/>
        </w:sectPr>
      </w:pPr>
    </w:p>
    <w:bookmarkEnd w:id="3"/>
    <w:bookmarkEnd w:id="0"/>
    <w:bookmarkStart w:name="block-21901492"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9012e5c9-2e66-40e9-9799-caf6f2595164" w:id="5"/>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p>
      <w:pPr>
        <w:spacing w:before="0" w:after="0" w:line="264"/>
        <w:ind w:left="120"/>
        <w:jc w:val="both"/>
      </w:pPr>
      <w:r>
        <w:rPr>
          <w:rFonts w:ascii="Times New Roman" w:hAnsi="Times New Roman"/>
          <w:b w:val="false"/>
          <w:i w:val="false"/>
          <w:color w:val="000000"/>
          <w:sz w:val="28"/>
        </w:rPr>
        <w:t>‌</w:t>
      </w:r>
    </w:p>
    <w:bookmarkStart w:name="block-21901492" w:id="6"/>
    <w:p>
      <w:pPr>
        <w:sectPr>
          <w:pgSz w:w="11906" w:h="16383" w:orient="portrait"/>
        </w:sectPr>
      </w:pPr>
    </w:p>
    <w:bookmarkEnd w:id="6"/>
    <w:bookmarkEnd w:id="4"/>
    <w:bookmarkStart w:name="block-21901493" w:id="7"/>
    <w:p>
      <w:pPr>
        <w:spacing w:before="0" w:after="0" w:line="264"/>
        <w:ind w:left="120"/>
        <w:jc w:val="both"/>
      </w:pPr>
      <w:r>
        <w:rPr>
          <w:rFonts w:ascii="Times New Roman" w:hAnsi="Times New Roman"/>
          <w:b w:val="false"/>
          <w:i w:val="false"/>
          <w:color w:val="000000"/>
          <w:sz w:val="28"/>
        </w:rPr>
        <w:t>​</w:t>
      </w:r>
      <w:r>
        <w:rPr>
          <w:rFonts w:ascii="Times New Roman" w:hAnsi="Times New Roman"/>
          <w:b/>
          <w:i w:val="false"/>
          <w:color w:val="000000"/>
          <w:sz w:val="28"/>
        </w:rPr>
        <w:t>СОДЕРЖАНИЕ ОБУЧЕНИЯ</w:t>
      </w:r>
    </w:p>
    <w:p>
      <w:pPr>
        <w:spacing w:before="0" w:after="0" w:line="264"/>
        <w:ind w:left="120"/>
        <w:jc w:val="both"/>
      </w:pP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1901493" w:id="8"/>
    <w:p>
      <w:pPr>
        <w:sectPr>
          <w:pgSz w:w="11906" w:h="16383" w:orient="portrait"/>
        </w:sectPr>
      </w:pPr>
    </w:p>
    <w:bookmarkEnd w:id="8"/>
    <w:bookmarkEnd w:id="7"/>
    <w:bookmarkStart w:name="block-21901495" w:id="9"/>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10"/>
      <w:bookmarkEnd w:id="10"/>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11"/>
      <w:bookmarkEnd w:id="11"/>
      <w:bookmarkStart w:name="_Toc134720971" w:id="12"/>
      <w:bookmarkEnd w:id="12"/>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1901495" w:id="13"/>
    <w:p>
      <w:pPr>
        <w:sectPr>
          <w:pgSz w:w="11906" w:h="16383" w:orient="portrait"/>
        </w:sectPr>
      </w:pPr>
    </w:p>
    <w:bookmarkEnd w:id="13"/>
    <w:bookmarkEnd w:id="9"/>
    <w:bookmarkStart w:name="block-21901490"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9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17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214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1901490" w:id="15"/>
    <w:p>
      <w:pPr>
        <w:sectPr>
          <w:pgSz w:w="16383" w:h="11906" w:orient="landscape"/>
        </w:sectPr>
      </w:pPr>
    </w:p>
    <w:bookmarkEnd w:id="15"/>
    <w:bookmarkEnd w:id="14"/>
    <w:bookmarkStart w:name="block-21901494"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22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217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8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6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154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5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8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30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5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1901494" w:id="17"/>
    <w:p>
      <w:pPr>
        <w:sectPr>
          <w:pgSz w:w="16383" w:h="11906" w:orient="landscape"/>
        </w:sectPr>
      </w:pPr>
    </w:p>
    <w:bookmarkEnd w:id="17"/>
    <w:bookmarkEnd w:id="16"/>
    <w:bookmarkStart w:name="block-21901496"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bd05d80c-fcad-45de-a028-b236b74fbaf0" w:id="19"/>
      <w:r>
        <w:rPr>
          <w:rFonts w:ascii="Times New Roman" w:hAnsi="Times New Roman"/>
          <w:b w:val="false"/>
          <w:i w:val="false"/>
          <w:color w:val="000000"/>
          <w:sz w:val="28"/>
        </w:rPr>
        <w:t>• Химия, 8 класс/ Рудзитис Г.Е., Фельдман Ф.Г., Акционерное общество «Издательство «Просвещение»</w:t>
      </w:r>
      <w:bookmarkEnd w:id="19"/>
      <w:r>
        <w:rPr>
          <w:sz w:val="28"/>
        </w:rPr>
        <w:br/>
      </w:r>
      <w:bookmarkStart w:name="bd05d80c-fcad-45de-a028-b236b74fbaf0" w:id="20"/>
      <w:r>
        <w:rPr>
          <w:rFonts w:ascii="Times New Roman" w:hAnsi="Times New Roman"/>
          <w:b w:val="false"/>
          <w:i w:val="false"/>
          <w:color w:val="000000"/>
          <w:sz w:val="28"/>
        </w:rPr>
        <w:t xml:space="preserve"> • Химия, 8 класс/ Еремин В.В., Кузьменко Н.Е., Дроздов А. А. и другие; под редакцией Лунина В.В., Акционерное общество «Издательство «Просвещение»</w:t>
      </w:r>
      <w:bookmarkEnd w:id="20"/>
      <w:r>
        <w:rPr>
          <w:sz w:val="28"/>
        </w:rPr>
        <w:br/>
      </w:r>
      <w:bookmarkStart w:name="bd05d80c-fcad-45de-a028-b236b74fbaf0" w:id="21"/>
      <w:r>
        <w:rPr>
          <w:rFonts w:ascii="Times New Roman" w:hAnsi="Times New Roman"/>
          <w:b w:val="false"/>
          <w:i w:val="false"/>
          <w:color w:val="000000"/>
          <w:sz w:val="28"/>
        </w:rPr>
        <w:t xml:space="preserve"> • Химия, 9 класс/ Габриелян О.С., Остроумов И.Г., Сладков С.А., Акционерное общество «Издательство «Просвещение»</w:t>
      </w:r>
      <w:bookmarkEnd w:id="21"/>
      <w:r>
        <w:rPr>
          <w:sz w:val="28"/>
        </w:rPr>
        <w:br/>
      </w:r>
      <w:bookmarkStart w:name="bd05d80c-fcad-45de-a028-b236b74fbaf0" w:id="22"/>
      <w:r>
        <w:rPr>
          <w:rFonts w:ascii="Times New Roman" w:hAnsi="Times New Roman"/>
          <w:b w:val="false"/>
          <w:i w:val="false"/>
          <w:color w:val="000000"/>
          <w:sz w:val="28"/>
        </w:rPr>
        <w:t xml:space="preserve"> • Химия, 8 класс/ Кузнецова Н.Е., Титова И.М., Гара Н.Н., Акционерное общество «Издательство «Просвещение»</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90de4b5a-88fc-4f80-ab94-3d9ac9d5e251" w:id="23"/>
      <w:r>
        <w:rPr>
          <w:rFonts w:ascii="Times New Roman" w:hAnsi="Times New Roman"/>
          <w:b w:val="false"/>
          <w:i w:val="false"/>
          <w:color w:val="000000"/>
          <w:sz w:val="28"/>
        </w:rPr>
        <w:t>https://hvsh.ru/</w:t>
      </w:r>
      <w:bookmarkEnd w:id="23"/>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1901496" w:id="24"/>
    <w:p>
      <w:pPr>
        <w:sectPr>
          <w:pgSz w:w="11906" w:h="16383" w:orient="portrait"/>
        </w:sectPr>
      </w:pPr>
    </w:p>
    <w:bookmarkEnd w:id="24"/>
    <w:bookmarkEnd w:id="18"/>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